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124BF1" w14:textId="77777777" w:rsidR="003B0E65" w:rsidRPr="001721F7" w:rsidRDefault="003B0E65" w:rsidP="003B0E65">
      <w:pPr>
        <w:pStyle w:val="Tekstpodstawowy"/>
        <w:jc w:val="right"/>
        <w:rPr>
          <w:rFonts w:ascii="Times New Roman" w:hAnsi="Times New Roman"/>
          <w:sz w:val="18"/>
          <w:szCs w:val="18"/>
        </w:rPr>
      </w:pPr>
      <w:r w:rsidRPr="001721F7">
        <w:rPr>
          <w:rFonts w:ascii="Times New Roman" w:hAnsi="Times New Roman"/>
          <w:sz w:val="18"/>
          <w:szCs w:val="18"/>
        </w:rPr>
        <w:t>Załącznik nr 2A</w:t>
      </w:r>
    </w:p>
    <w:p w14:paraId="4CF81A24" w14:textId="77777777" w:rsidR="003B0E65" w:rsidRPr="001721F7" w:rsidRDefault="003B0E65" w:rsidP="003B0E65">
      <w:pPr>
        <w:pStyle w:val="Zwykytekst"/>
        <w:suppressAutoHyphens/>
        <w:spacing w:before="120" w:after="120"/>
        <w:jc w:val="right"/>
        <w:rPr>
          <w:rFonts w:ascii="Times New Roman" w:hAnsi="Times New Roman"/>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3B0E65" w:rsidRPr="001721F7" w14:paraId="6A8E4F1C" w14:textId="77777777" w:rsidTr="00151B6C">
        <w:trPr>
          <w:trHeight w:val="752"/>
        </w:trPr>
        <w:tc>
          <w:tcPr>
            <w:tcW w:w="9214" w:type="dxa"/>
            <w:shd w:val="clear" w:color="auto" w:fill="CCCCCC"/>
            <w:vAlign w:val="center"/>
          </w:tcPr>
          <w:p w14:paraId="650FBCC1" w14:textId="77777777" w:rsidR="003B0E65" w:rsidRPr="001721F7" w:rsidRDefault="003B0E65" w:rsidP="00151B6C">
            <w:pPr>
              <w:spacing w:before="120" w:after="120"/>
              <w:ind w:right="73"/>
              <w:jc w:val="center"/>
              <w:rPr>
                <w:b/>
                <w:sz w:val="18"/>
                <w:szCs w:val="18"/>
              </w:rPr>
            </w:pPr>
            <w:r w:rsidRPr="001721F7">
              <w:rPr>
                <w:b/>
                <w:sz w:val="18"/>
                <w:szCs w:val="18"/>
              </w:rPr>
              <w:t>OŚWIADCZENIE WYKONAWCY O AKTUALNOŚCI OŚWIADCZENIA ZGODNEGO Z ART.125 UST.1 PZP</w:t>
            </w:r>
          </w:p>
          <w:p w14:paraId="27C9249C" w14:textId="77777777" w:rsidR="003B0E65" w:rsidRPr="001721F7" w:rsidRDefault="003B0E65" w:rsidP="00151B6C">
            <w:pPr>
              <w:spacing w:before="120" w:after="120"/>
              <w:jc w:val="center"/>
              <w:rPr>
                <w:b/>
                <w:bCs/>
                <w:iCs/>
                <w:sz w:val="18"/>
                <w:szCs w:val="18"/>
              </w:rPr>
            </w:pPr>
            <w:r w:rsidRPr="001721F7">
              <w:rPr>
                <w:b/>
                <w:bCs/>
                <w:iCs/>
                <w:sz w:val="18"/>
                <w:szCs w:val="18"/>
              </w:rPr>
              <w:t xml:space="preserve"> </w:t>
            </w:r>
          </w:p>
        </w:tc>
      </w:tr>
    </w:tbl>
    <w:p w14:paraId="707DC839" w14:textId="77777777" w:rsidR="003B0E65" w:rsidRPr="001721F7" w:rsidRDefault="003B0E65" w:rsidP="003B0E65">
      <w:pPr>
        <w:pStyle w:val="Zwykytekst"/>
        <w:suppressAutoHyphens/>
        <w:spacing w:before="120" w:after="120" w:line="360" w:lineRule="auto"/>
        <w:jc w:val="both"/>
        <w:rPr>
          <w:rFonts w:ascii="Times New Roman" w:hAnsi="Times New Roman"/>
          <w:b/>
          <w:sz w:val="18"/>
          <w:szCs w:val="18"/>
        </w:rPr>
      </w:pPr>
    </w:p>
    <w:tbl>
      <w:tblPr>
        <w:tblW w:w="9284" w:type="dxa"/>
        <w:tblCellMar>
          <w:left w:w="70" w:type="dxa"/>
          <w:right w:w="70" w:type="dxa"/>
        </w:tblCellMar>
        <w:tblLook w:val="04A0" w:firstRow="1" w:lastRow="0" w:firstColumn="1" w:lastColumn="0" w:noHBand="0" w:noVBand="1"/>
      </w:tblPr>
      <w:tblGrid>
        <w:gridCol w:w="1950"/>
        <w:gridCol w:w="7334"/>
      </w:tblGrid>
      <w:tr w:rsidR="003B0E65" w:rsidRPr="00CA44F1" w14:paraId="6F02B778" w14:textId="77777777" w:rsidTr="00151B6C">
        <w:trPr>
          <w:trHeight w:val="368"/>
        </w:trPr>
        <w:tc>
          <w:tcPr>
            <w:tcW w:w="1935" w:type="dxa"/>
            <w:vAlign w:val="bottom"/>
            <w:hideMark/>
          </w:tcPr>
          <w:p w14:paraId="247737DB" w14:textId="77777777" w:rsidR="003B0E65" w:rsidRPr="00CA44F1" w:rsidRDefault="003B0E65" w:rsidP="00151B6C">
            <w:pPr>
              <w:autoSpaceDE w:val="0"/>
              <w:autoSpaceDN w:val="0"/>
              <w:adjustRightInd w:val="0"/>
              <w:spacing w:before="60"/>
              <w:rPr>
                <w:sz w:val="18"/>
                <w:szCs w:val="18"/>
              </w:rPr>
            </w:pPr>
            <w:r w:rsidRPr="00CA44F1">
              <w:rPr>
                <w:sz w:val="18"/>
                <w:szCs w:val="18"/>
              </w:rPr>
              <w:t xml:space="preserve">Nazwa Wykonawcy </w:t>
            </w:r>
          </w:p>
        </w:tc>
        <w:tc>
          <w:tcPr>
            <w:tcW w:w="7279" w:type="dxa"/>
            <w:tcBorders>
              <w:top w:val="nil"/>
              <w:left w:val="nil"/>
              <w:bottom w:val="dashed" w:sz="4" w:space="0" w:color="auto"/>
              <w:right w:val="nil"/>
            </w:tcBorders>
            <w:vAlign w:val="bottom"/>
          </w:tcPr>
          <w:p w14:paraId="0CA69DDC" w14:textId="77777777" w:rsidR="003B0E65" w:rsidRPr="00CA44F1" w:rsidRDefault="003B0E65" w:rsidP="00151B6C">
            <w:pPr>
              <w:autoSpaceDE w:val="0"/>
              <w:autoSpaceDN w:val="0"/>
              <w:adjustRightInd w:val="0"/>
              <w:spacing w:before="60"/>
              <w:rPr>
                <w:sz w:val="18"/>
                <w:szCs w:val="18"/>
              </w:rPr>
            </w:pPr>
          </w:p>
        </w:tc>
      </w:tr>
      <w:tr w:rsidR="003B0E65" w:rsidRPr="00CA44F1" w14:paraId="1D7829C7" w14:textId="77777777" w:rsidTr="00151B6C">
        <w:trPr>
          <w:trHeight w:val="368"/>
        </w:trPr>
        <w:tc>
          <w:tcPr>
            <w:tcW w:w="1935" w:type="dxa"/>
            <w:vAlign w:val="bottom"/>
            <w:hideMark/>
          </w:tcPr>
          <w:p w14:paraId="5645596C" w14:textId="77777777" w:rsidR="003B0E65" w:rsidRPr="00CA44F1" w:rsidRDefault="003B0E65" w:rsidP="00151B6C">
            <w:pPr>
              <w:autoSpaceDE w:val="0"/>
              <w:autoSpaceDN w:val="0"/>
              <w:adjustRightInd w:val="0"/>
              <w:spacing w:before="60"/>
              <w:rPr>
                <w:sz w:val="18"/>
                <w:szCs w:val="18"/>
              </w:rPr>
            </w:pPr>
            <w:r w:rsidRPr="00CA44F1">
              <w:rPr>
                <w:sz w:val="18"/>
                <w:szCs w:val="18"/>
              </w:rPr>
              <w:t xml:space="preserve">Adres Wykonawcy </w:t>
            </w:r>
          </w:p>
        </w:tc>
        <w:tc>
          <w:tcPr>
            <w:tcW w:w="7279" w:type="dxa"/>
            <w:tcBorders>
              <w:top w:val="dashed" w:sz="4" w:space="0" w:color="auto"/>
              <w:left w:val="nil"/>
              <w:bottom w:val="dashed" w:sz="4" w:space="0" w:color="auto"/>
              <w:right w:val="nil"/>
            </w:tcBorders>
            <w:vAlign w:val="bottom"/>
          </w:tcPr>
          <w:p w14:paraId="3D84748D" w14:textId="77777777" w:rsidR="003B0E65" w:rsidRPr="00CA44F1" w:rsidRDefault="003B0E65" w:rsidP="00151B6C">
            <w:pPr>
              <w:autoSpaceDE w:val="0"/>
              <w:autoSpaceDN w:val="0"/>
              <w:adjustRightInd w:val="0"/>
              <w:spacing w:before="60"/>
              <w:rPr>
                <w:sz w:val="18"/>
                <w:szCs w:val="18"/>
              </w:rPr>
            </w:pPr>
          </w:p>
        </w:tc>
      </w:tr>
    </w:tbl>
    <w:p w14:paraId="25E787FE" w14:textId="77777777" w:rsidR="003B0E65" w:rsidRPr="00CA44F1" w:rsidRDefault="003B0E65" w:rsidP="003B0E65">
      <w:pPr>
        <w:spacing w:before="60"/>
        <w:jc w:val="both"/>
        <w:rPr>
          <w:sz w:val="18"/>
          <w:szCs w:val="18"/>
        </w:rPr>
      </w:pPr>
    </w:p>
    <w:p w14:paraId="3E58E6CD" w14:textId="774C15C3" w:rsidR="003B0E65" w:rsidRDefault="003B0E65" w:rsidP="003B0E65">
      <w:pPr>
        <w:autoSpaceDE w:val="0"/>
        <w:autoSpaceDN w:val="0"/>
        <w:adjustRightInd w:val="0"/>
        <w:spacing w:before="60" w:line="276" w:lineRule="auto"/>
        <w:jc w:val="both"/>
        <w:rPr>
          <w:b/>
          <w:bCs/>
          <w:i/>
          <w:iCs/>
          <w:sz w:val="18"/>
          <w:szCs w:val="18"/>
        </w:rPr>
      </w:pPr>
      <w:r w:rsidRPr="00CA44F1">
        <w:rPr>
          <w:spacing w:val="-4"/>
          <w:sz w:val="18"/>
          <w:szCs w:val="18"/>
        </w:rPr>
        <w:t>Składając ofertę w postępowaniu o udzielenie zamówienia publicznego na zadanie pod nazwą:</w:t>
      </w:r>
      <w:r>
        <w:rPr>
          <w:spacing w:val="-4"/>
          <w:sz w:val="18"/>
          <w:szCs w:val="18"/>
        </w:rPr>
        <w:t xml:space="preserve"> </w:t>
      </w:r>
      <w:r w:rsidR="0005266C" w:rsidRPr="0005266C">
        <w:rPr>
          <w:b/>
          <w:bCs/>
          <w:sz w:val="18"/>
          <w:szCs w:val="18"/>
        </w:rPr>
        <w:t>Dostawa i montaż kinkietów ozdobnych do sali kinowej w IV kręgu Opery Nova w Bydgoszczy</w:t>
      </w:r>
      <w:r w:rsidR="003148FA" w:rsidRPr="00CE5B1C">
        <w:rPr>
          <w:b/>
          <w:sz w:val="18"/>
          <w:szCs w:val="18"/>
        </w:rPr>
        <w:t>.</w:t>
      </w:r>
    </w:p>
    <w:p w14:paraId="739B23E8" w14:textId="77777777" w:rsidR="003B0E65" w:rsidRPr="001721F7" w:rsidRDefault="003B0E65" w:rsidP="003B0E65">
      <w:pPr>
        <w:adjustRightInd w:val="0"/>
        <w:rPr>
          <w:b/>
          <w:bCs/>
          <w:sz w:val="18"/>
          <w:szCs w:val="18"/>
        </w:rPr>
      </w:pPr>
    </w:p>
    <w:p w14:paraId="21BD6887" w14:textId="77777777" w:rsidR="003B0E65" w:rsidRPr="001721F7" w:rsidRDefault="003B0E65" w:rsidP="003B0E65">
      <w:pPr>
        <w:ind w:left="360" w:hanging="360"/>
        <w:jc w:val="center"/>
        <w:rPr>
          <w:sz w:val="18"/>
          <w:szCs w:val="18"/>
        </w:rPr>
      </w:pPr>
    </w:p>
    <w:p w14:paraId="7A5FD696" w14:textId="77777777" w:rsidR="003B0E65" w:rsidRPr="001721F7" w:rsidRDefault="003B0E65" w:rsidP="003B0E65">
      <w:pPr>
        <w:ind w:left="360" w:hanging="360"/>
        <w:jc w:val="center"/>
        <w:rPr>
          <w:sz w:val="18"/>
          <w:szCs w:val="18"/>
        </w:rPr>
      </w:pPr>
      <w:r w:rsidRPr="001721F7">
        <w:rPr>
          <w:sz w:val="18"/>
          <w:szCs w:val="18"/>
        </w:rPr>
        <w:t>OŚWIADCZAM, że informacje zawarte w złożonym przez nas oświadczeniu, o którym mowa w art. 125 ust. 1 ustawy PZP w zakresie podstaw wykluczenia wskazanych przez Zamawiającego tj.:</w:t>
      </w:r>
    </w:p>
    <w:p w14:paraId="49B826A3" w14:textId="77777777" w:rsidR="003B0E65" w:rsidRPr="001721F7" w:rsidRDefault="003B0E65" w:rsidP="003B0E65">
      <w:pPr>
        <w:pStyle w:val="Tekstpodstawowy2"/>
        <w:numPr>
          <w:ilvl w:val="0"/>
          <w:numId w:val="1"/>
        </w:numPr>
        <w:ind w:left="709" w:hanging="567"/>
        <w:rPr>
          <w:b w:val="0"/>
          <w:sz w:val="18"/>
          <w:szCs w:val="18"/>
        </w:rPr>
      </w:pPr>
      <w:r w:rsidRPr="001721F7">
        <w:rPr>
          <w:b w:val="0"/>
          <w:bCs w:val="0"/>
          <w:sz w:val="18"/>
          <w:szCs w:val="18"/>
        </w:rPr>
        <w:t>art. 108 ust. 1 pkt. 3 ustawy,</w:t>
      </w:r>
    </w:p>
    <w:p w14:paraId="38AF15A7" w14:textId="77777777" w:rsidR="003B0E65" w:rsidRPr="00687943" w:rsidRDefault="003B0E65" w:rsidP="003B0E65">
      <w:pPr>
        <w:pStyle w:val="Tekstpodstawowy2"/>
        <w:numPr>
          <w:ilvl w:val="0"/>
          <w:numId w:val="1"/>
        </w:numPr>
        <w:ind w:left="709" w:hanging="567"/>
        <w:rPr>
          <w:b w:val="0"/>
          <w:sz w:val="18"/>
          <w:szCs w:val="18"/>
        </w:rPr>
      </w:pPr>
      <w:r w:rsidRPr="001721F7">
        <w:rPr>
          <w:b w:val="0"/>
          <w:bCs w:val="0"/>
          <w:sz w:val="18"/>
          <w:szCs w:val="18"/>
        </w:rPr>
        <w:t>art. 108 ust. 1 pkt. 4 ustawy, dotyczących orzeczenia zakazu ubiegania się o zamówienie publiczne tytułem środka zapobiegawczego,</w:t>
      </w:r>
    </w:p>
    <w:p w14:paraId="26DD66A6" w14:textId="3F987ED0" w:rsidR="00687943" w:rsidRPr="00426C07" w:rsidRDefault="004B37B3" w:rsidP="00426C07">
      <w:pPr>
        <w:pStyle w:val="Tekstpodstawowy2"/>
        <w:numPr>
          <w:ilvl w:val="0"/>
          <w:numId w:val="1"/>
        </w:numPr>
        <w:ind w:left="709" w:hanging="567"/>
        <w:rPr>
          <w:b w:val="0"/>
          <w:bCs w:val="0"/>
          <w:sz w:val="18"/>
          <w:szCs w:val="18"/>
        </w:rPr>
      </w:pPr>
      <w:r>
        <w:rPr>
          <w:b w:val="0"/>
          <w:bCs w:val="0"/>
          <w:sz w:val="18"/>
          <w:szCs w:val="18"/>
        </w:rPr>
        <w:t>a</w:t>
      </w:r>
      <w:r w:rsidR="00426C07" w:rsidRPr="00426C07">
        <w:rPr>
          <w:b w:val="0"/>
          <w:bCs w:val="0"/>
          <w:sz w:val="18"/>
          <w:szCs w:val="18"/>
        </w:rPr>
        <w:t>rt. 108 ust. 1 pkt 5 ustawy, dotyczących zawarcia z innymi wykonawcami porozumienia mającego na celu zakłócenie konkurencji,</w:t>
      </w:r>
    </w:p>
    <w:p w14:paraId="2FDE8AB9" w14:textId="77777777" w:rsidR="003B0E65" w:rsidRPr="001721F7" w:rsidRDefault="003B0E65" w:rsidP="003B0E65">
      <w:pPr>
        <w:pStyle w:val="Tekstpodstawowy2"/>
        <w:numPr>
          <w:ilvl w:val="0"/>
          <w:numId w:val="1"/>
        </w:numPr>
        <w:ind w:left="709" w:hanging="567"/>
        <w:rPr>
          <w:b w:val="0"/>
          <w:sz w:val="18"/>
          <w:szCs w:val="18"/>
        </w:rPr>
      </w:pPr>
      <w:r w:rsidRPr="001721F7">
        <w:rPr>
          <w:b w:val="0"/>
          <w:bCs w:val="0"/>
          <w:sz w:val="18"/>
          <w:szCs w:val="18"/>
        </w:rPr>
        <w:t>art. 108 ust. 1 pkt. 6 ustawy.</w:t>
      </w:r>
    </w:p>
    <w:p w14:paraId="077CB9FF" w14:textId="77777777" w:rsidR="003B0E65" w:rsidRPr="001721F7" w:rsidRDefault="003B0E65" w:rsidP="003B0E65">
      <w:pPr>
        <w:pStyle w:val="Tekstpodstawowy"/>
        <w:jc w:val="right"/>
        <w:rPr>
          <w:rFonts w:ascii="Times New Roman" w:hAnsi="Times New Roman"/>
          <w:sz w:val="18"/>
          <w:szCs w:val="18"/>
        </w:rPr>
      </w:pPr>
    </w:p>
    <w:p w14:paraId="56F8167F" w14:textId="77777777" w:rsidR="003B0E65" w:rsidRPr="001721F7" w:rsidRDefault="003B0E65" w:rsidP="003B0E65">
      <w:pPr>
        <w:pStyle w:val="Tekstpodstawowy"/>
        <w:rPr>
          <w:rFonts w:ascii="Times New Roman" w:hAnsi="Times New Roman"/>
          <w:sz w:val="18"/>
          <w:szCs w:val="18"/>
        </w:rPr>
      </w:pPr>
      <w:r w:rsidRPr="001721F7">
        <w:rPr>
          <w:rFonts w:ascii="Times New Roman" w:hAnsi="Times New Roman"/>
          <w:sz w:val="18"/>
          <w:szCs w:val="18"/>
        </w:rPr>
        <w:t>są nadal aktualne.</w:t>
      </w:r>
    </w:p>
    <w:p w14:paraId="0683DC15" w14:textId="77777777" w:rsidR="003B0E65" w:rsidRPr="001721F7" w:rsidRDefault="003B0E65" w:rsidP="003B0E65">
      <w:pPr>
        <w:pStyle w:val="Tekstpodstawowy"/>
        <w:jc w:val="right"/>
        <w:rPr>
          <w:rFonts w:ascii="Times New Roman" w:hAnsi="Times New Roman"/>
          <w:sz w:val="18"/>
          <w:szCs w:val="18"/>
        </w:rPr>
      </w:pPr>
    </w:p>
    <w:p w14:paraId="0B9ED238" w14:textId="77777777" w:rsidR="003B0E65" w:rsidRPr="001721F7" w:rsidRDefault="003B0E65" w:rsidP="003B0E65">
      <w:pPr>
        <w:pStyle w:val="Tekstpodstawowy"/>
        <w:jc w:val="right"/>
        <w:rPr>
          <w:rFonts w:ascii="Times New Roman" w:hAnsi="Times New Roman"/>
          <w:sz w:val="18"/>
          <w:szCs w:val="18"/>
        </w:rPr>
      </w:pPr>
    </w:p>
    <w:p w14:paraId="4A3973AE" w14:textId="77777777" w:rsidR="00120C28" w:rsidRDefault="00120C28"/>
    <w:sectPr w:rsidR="00120C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90B293" w14:textId="77777777" w:rsidR="0047752C" w:rsidRDefault="0047752C" w:rsidP="003B0E65">
      <w:r>
        <w:separator/>
      </w:r>
    </w:p>
  </w:endnote>
  <w:endnote w:type="continuationSeparator" w:id="0">
    <w:p w14:paraId="2D242209" w14:textId="77777777" w:rsidR="0047752C" w:rsidRDefault="0047752C" w:rsidP="003B0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868DCD" w14:textId="77777777" w:rsidR="0047752C" w:rsidRDefault="0047752C" w:rsidP="003B0E65">
      <w:r>
        <w:separator/>
      </w:r>
    </w:p>
  </w:footnote>
  <w:footnote w:type="continuationSeparator" w:id="0">
    <w:p w14:paraId="2005BA56" w14:textId="77777777" w:rsidR="0047752C" w:rsidRDefault="0047752C" w:rsidP="003B0E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num w:numId="1" w16cid:durableId="2050723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E65"/>
    <w:rsid w:val="0005266C"/>
    <w:rsid w:val="000948F6"/>
    <w:rsid w:val="00120C28"/>
    <w:rsid w:val="0013024F"/>
    <w:rsid w:val="002A4C01"/>
    <w:rsid w:val="003148FA"/>
    <w:rsid w:val="00343219"/>
    <w:rsid w:val="003446BE"/>
    <w:rsid w:val="003B0E65"/>
    <w:rsid w:val="00426C07"/>
    <w:rsid w:val="0047752C"/>
    <w:rsid w:val="004B37B3"/>
    <w:rsid w:val="00577500"/>
    <w:rsid w:val="00687943"/>
    <w:rsid w:val="007E60DD"/>
    <w:rsid w:val="00842733"/>
    <w:rsid w:val="00A52175"/>
    <w:rsid w:val="00AF22FB"/>
    <w:rsid w:val="00AF3FDB"/>
    <w:rsid w:val="00C21405"/>
    <w:rsid w:val="00F52BBF"/>
    <w:rsid w:val="00FD66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A96A7"/>
  <w15:chartTrackingRefBased/>
  <w15:docId w15:val="{EF3B100B-4C45-4A32-B172-B7F4E3DAD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0E6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3B0E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B0E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B0E6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B0E6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B0E6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B0E65"/>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B0E65"/>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B0E65"/>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B0E65"/>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B0E6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B0E6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B0E6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B0E6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B0E6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B0E6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B0E6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B0E6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B0E65"/>
    <w:rPr>
      <w:rFonts w:eastAsiaTheme="majorEastAsia" w:cstheme="majorBidi"/>
      <w:color w:val="272727" w:themeColor="text1" w:themeTint="D8"/>
    </w:rPr>
  </w:style>
  <w:style w:type="paragraph" w:styleId="Tytu">
    <w:name w:val="Title"/>
    <w:basedOn w:val="Normalny"/>
    <w:next w:val="Normalny"/>
    <w:link w:val="TytuZnak"/>
    <w:uiPriority w:val="10"/>
    <w:qFormat/>
    <w:rsid w:val="003B0E65"/>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B0E6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B0E6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B0E6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B0E65"/>
    <w:pPr>
      <w:spacing w:before="160"/>
      <w:jc w:val="center"/>
    </w:pPr>
    <w:rPr>
      <w:i/>
      <w:iCs/>
      <w:color w:val="404040" w:themeColor="text1" w:themeTint="BF"/>
    </w:rPr>
  </w:style>
  <w:style w:type="character" w:customStyle="1" w:styleId="CytatZnak">
    <w:name w:val="Cytat Znak"/>
    <w:basedOn w:val="Domylnaczcionkaakapitu"/>
    <w:link w:val="Cytat"/>
    <w:uiPriority w:val="29"/>
    <w:rsid w:val="003B0E65"/>
    <w:rPr>
      <w:i/>
      <w:iCs/>
      <w:color w:val="404040" w:themeColor="text1" w:themeTint="BF"/>
    </w:rPr>
  </w:style>
  <w:style w:type="paragraph" w:styleId="Akapitzlist">
    <w:name w:val="List Paragraph"/>
    <w:basedOn w:val="Normalny"/>
    <w:uiPriority w:val="34"/>
    <w:qFormat/>
    <w:rsid w:val="003B0E65"/>
    <w:pPr>
      <w:ind w:left="720"/>
      <w:contextualSpacing/>
    </w:pPr>
  </w:style>
  <w:style w:type="character" w:styleId="Wyrnienieintensywne">
    <w:name w:val="Intense Emphasis"/>
    <w:basedOn w:val="Domylnaczcionkaakapitu"/>
    <w:uiPriority w:val="21"/>
    <w:qFormat/>
    <w:rsid w:val="003B0E65"/>
    <w:rPr>
      <w:i/>
      <w:iCs/>
      <w:color w:val="0F4761" w:themeColor="accent1" w:themeShade="BF"/>
    </w:rPr>
  </w:style>
  <w:style w:type="paragraph" w:styleId="Cytatintensywny">
    <w:name w:val="Intense Quote"/>
    <w:basedOn w:val="Normalny"/>
    <w:next w:val="Normalny"/>
    <w:link w:val="CytatintensywnyZnak"/>
    <w:uiPriority w:val="30"/>
    <w:qFormat/>
    <w:rsid w:val="003B0E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B0E65"/>
    <w:rPr>
      <w:i/>
      <w:iCs/>
      <w:color w:val="0F4761" w:themeColor="accent1" w:themeShade="BF"/>
    </w:rPr>
  </w:style>
  <w:style w:type="character" w:styleId="Odwoanieintensywne">
    <w:name w:val="Intense Reference"/>
    <w:basedOn w:val="Domylnaczcionkaakapitu"/>
    <w:uiPriority w:val="32"/>
    <w:qFormat/>
    <w:rsid w:val="003B0E65"/>
    <w:rPr>
      <w:b/>
      <w:bCs/>
      <w:smallCaps/>
      <w:color w:val="0F4761" w:themeColor="accent1" w:themeShade="BF"/>
      <w:spacing w:val="5"/>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uiPriority w:val="99"/>
    <w:rsid w:val="003B0E65"/>
    <w:rPr>
      <w:rFonts w:ascii="Arial" w:hAnsi="Arial"/>
      <w:lang w:val="x-none" w:eastAsia="x-none"/>
    </w:rPr>
  </w:style>
  <w:style w:type="character" w:customStyle="1" w:styleId="TekstpodstawowyZnak">
    <w:name w:val="Tekst podstawowy Znak"/>
    <w:basedOn w:val="Domylnaczcionkaakapitu"/>
    <w:uiPriority w:val="99"/>
    <w:semiHidden/>
    <w:rsid w:val="003B0E65"/>
    <w:rPr>
      <w:rFonts w:ascii="Times New Roman" w:eastAsia="Times New Roman" w:hAnsi="Times New Roman" w:cs="Times New Roman"/>
      <w:kern w:val="0"/>
      <w:sz w:val="24"/>
      <w:szCs w:val="24"/>
      <w:lang w:eastAsia="pl-PL"/>
      <w14:ligatures w14:val="none"/>
    </w:rPr>
  </w:style>
  <w:style w:type="paragraph" w:styleId="Tekstpodstawowy2">
    <w:name w:val="Body Text 2"/>
    <w:basedOn w:val="Normalny"/>
    <w:link w:val="Tekstpodstawowy2Znak"/>
    <w:rsid w:val="003B0E65"/>
    <w:pPr>
      <w:spacing w:before="120"/>
      <w:jc w:val="both"/>
    </w:pPr>
    <w:rPr>
      <w:b/>
      <w:bCs/>
      <w:sz w:val="25"/>
      <w:szCs w:val="25"/>
      <w:lang w:val="x-none" w:eastAsia="x-none"/>
    </w:rPr>
  </w:style>
  <w:style w:type="character" w:customStyle="1" w:styleId="Tekstpodstawowy2Znak">
    <w:name w:val="Tekst podstawowy 2 Znak"/>
    <w:basedOn w:val="Domylnaczcionkaakapitu"/>
    <w:link w:val="Tekstpodstawowy2"/>
    <w:rsid w:val="003B0E65"/>
    <w:rPr>
      <w:rFonts w:ascii="Times New Roman" w:eastAsia="Times New Roman" w:hAnsi="Times New Roman" w:cs="Times New Roman"/>
      <w:b/>
      <w:bCs/>
      <w:kern w:val="0"/>
      <w:sz w:val="25"/>
      <w:szCs w:val="25"/>
      <w:lang w:val="x-none" w:eastAsia="x-none"/>
      <w14:ligatures w14:val="none"/>
    </w:rPr>
  </w:style>
  <w:style w:type="paragraph" w:styleId="Zwykytekst">
    <w:name w:val="Plain Text"/>
    <w:basedOn w:val="Normalny"/>
    <w:link w:val="ZwykytekstZnak"/>
    <w:uiPriority w:val="99"/>
    <w:rsid w:val="003B0E65"/>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3B0E65"/>
    <w:rPr>
      <w:rFonts w:ascii="Courier New" w:eastAsia="Times New Roman" w:hAnsi="Courier New" w:cs="Times New Roman"/>
      <w:kern w:val="0"/>
      <w:sz w:val="20"/>
      <w:szCs w:val="20"/>
      <w:lang w:val="x-none" w:eastAsia="x-none"/>
      <w14:ligatures w14:val="none"/>
    </w:rPr>
  </w:style>
  <w:style w:type="character" w:customStyle="1" w:styleId="TekstpodstawowyZnak1">
    <w:name w:val="Tekst podstawowy Znak1"/>
    <w:aliases w:val="a2 Znak,Znak Znak Znak,Znak Znak1,Znak Znak Znak Znak Znak Znak, Znak Znak,a2 Znak Znak Znak,Tekst podstawowy Znak Znak Znak,Body Text Char2 Znak Znak Znak,Body Text Char Char Znak Znak Znak,(F2) Znak"/>
    <w:link w:val="Tekstpodstawowy"/>
    <w:uiPriority w:val="99"/>
    <w:rsid w:val="003B0E65"/>
    <w:rPr>
      <w:rFonts w:ascii="Arial" w:eastAsia="Times New Roman" w:hAnsi="Arial" w:cs="Times New Roman"/>
      <w:kern w:val="0"/>
      <w:sz w:val="24"/>
      <w:szCs w:val="24"/>
      <w:lang w:val="x-none" w:eastAsia="x-none"/>
      <w14:ligatures w14:val="none"/>
    </w:rPr>
  </w:style>
  <w:style w:type="paragraph" w:styleId="Nagwek">
    <w:name w:val="header"/>
    <w:basedOn w:val="Normalny"/>
    <w:link w:val="NagwekZnak"/>
    <w:uiPriority w:val="99"/>
    <w:unhideWhenUsed/>
    <w:rsid w:val="003B0E65"/>
    <w:pPr>
      <w:tabs>
        <w:tab w:val="center" w:pos="4536"/>
        <w:tab w:val="right" w:pos="9072"/>
      </w:tabs>
    </w:pPr>
  </w:style>
  <w:style w:type="character" w:customStyle="1" w:styleId="NagwekZnak">
    <w:name w:val="Nagłówek Znak"/>
    <w:basedOn w:val="Domylnaczcionkaakapitu"/>
    <w:link w:val="Nagwek"/>
    <w:uiPriority w:val="99"/>
    <w:rsid w:val="003B0E65"/>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3B0E65"/>
    <w:pPr>
      <w:tabs>
        <w:tab w:val="center" w:pos="4536"/>
        <w:tab w:val="right" w:pos="9072"/>
      </w:tabs>
    </w:pPr>
  </w:style>
  <w:style w:type="character" w:customStyle="1" w:styleId="StopkaZnak">
    <w:name w:val="Stopka Znak"/>
    <w:basedOn w:val="Domylnaczcionkaakapitu"/>
    <w:link w:val="Stopka"/>
    <w:uiPriority w:val="99"/>
    <w:rsid w:val="003B0E65"/>
    <w:rPr>
      <w:rFonts w:ascii="Times New Roman" w:eastAsia="Times New Roman" w:hAnsi="Times New Roman" w:cs="Times New Roman"/>
      <w:kern w:val="0"/>
      <w:sz w:val="24"/>
      <w:szCs w:val="24"/>
      <w:lang w:eastAsia="pl-PL"/>
      <w14:ligatures w14:val="none"/>
    </w:rPr>
  </w:style>
  <w:style w:type="paragraph" w:styleId="Poprawka">
    <w:name w:val="Revision"/>
    <w:hidden/>
    <w:uiPriority w:val="99"/>
    <w:semiHidden/>
    <w:rsid w:val="00687943"/>
    <w:pPr>
      <w:spacing w:after="0"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120</Words>
  <Characters>720</Characters>
  <Application>Microsoft Office Word</Application>
  <DocSecurity>0</DocSecurity>
  <Lines>6</Lines>
  <Paragraphs>1</Paragraphs>
  <ScaleCrop>false</ScaleCrop>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Domański</dc:creator>
  <cp:keywords/>
  <dc:description/>
  <cp:lastModifiedBy>Dziża-Koniczyńska, Zuzanna</cp:lastModifiedBy>
  <cp:revision>5</cp:revision>
  <dcterms:created xsi:type="dcterms:W3CDTF">2025-05-17T15:51:00Z</dcterms:created>
  <dcterms:modified xsi:type="dcterms:W3CDTF">2025-12-09T07:23:00Z</dcterms:modified>
</cp:coreProperties>
</file>